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</w:pPr>
      <w:bookmarkStart w:id="0" w:name="h.mgg5wz1sc16g"/>
      <w:bookmarkEnd w:id="0"/>
      <w:r>
        <w:rPr>
          <w:rFonts w:ascii="Arial" w:hAnsi="Arial"/>
          <w:sz w:val="36"/>
          <w:szCs w:val="36"/>
        </w:rPr>
        <w:t>Tříkrálová sbírka 2014 na Jablunkovsku</w:t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4705985</wp:posOffset>
            </wp:positionH>
            <wp:positionV relativeFrom="line">
              <wp:posOffset>27305</wp:posOffset>
            </wp:positionV>
            <wp:extent cx="1171575" cy="808990"/>
            <wp:effectExtent b="0" l="0" r="0" t="0"/>
            <wp:wrapSquare wrapText="bothSides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  <w:jc w:val="both"/>
      </w:pPr>
      <w:r>
        <w:rPr>
          <w:rFonts w:ascii="Arial" w:hAnsi="Arial"/>
          <w:sz w:val="20"/>
          <w:szCs w:val="20"/>
        </w:rPr>
        <w:t>Všechny zapečetěné pokladničky byly úředně rozpečetěny a sečteny za přítomnosti pracovníků obecních úřadů. Je čas díků.</w:t>
      </w:r>
    </w:p>
    <w:p>
      <w:pPr>
        <w:pStyle w:val="style0"/>
        <w:jc w:val="both"/>
      </w:pPr>
      <w:r>
        <w:rPr>
          <w:rFonts w:ascii="Arial" w:hAnsi="Arial"/>
          <w:sz w:val="20"/>
          <w:szCs w:val="20"/>
        </w:rPr>
        <w:t>Ze srdce děkujeme Vám všem, kteří jste přijali naše koledníky...</w:t>
      </w:r>
    </w:p>
    <w:p>
      <w:pPr>
        <w:pStyle w:val="style0"/>
        <w:jc w:val="both"/>
      </w:pPr>
      <w:r>
        <w:rPr>
          <w:rFonts w:ascii="Arial" w:hAnsi="Arial"/>
          <w:sz w:val="20"/>
          <w:szCs w:val="20"/>
        </w:rPr>
        <w:t>Velké díky patří rovněž vedoucím skupinek, koledníkům, koordinátorům i všem ostatním dobrovolníkům za jejich obětavost při zapojení do této dobrovolnické akce. Je to velká spousta práce, kterou odvádí bez jakékoliv odměny. Je to velký skutek lásky.</w:t>
      </w:r>
    </w:p>
    <w:p>
      <w:pPr>
        <w:pStyle w:val="style0"/>
        <w:jc w:val="both"/>
      </w:pPr>
      <w:r>
        <w:rPr>
          <w:rFonts w:ascii="Arial" w:hAnsi="Arial"/>
          <w:sz w:val="20"/>
          <w:szCs w:val="20"/>
        </w:rPr>
        <w:t>Celková částka vykoledovaná na Jablunkovsku činí 731890 Kč, což je o 36 tisíc více než v loňském roce. 65 % výtěžku se vrátí zpět do Charity Jablunkov. Zbylých 35% bude rozděleno na činnost Diecézní charity ostravsko-opavské (15%), humanitární pomoc u nás i v zahraničí (10%), činnost Charity Česká republika (5%). Zbylých 5% je v souladu se zákonem využito na náklady spojené s pořádáním sbírky. Charita Jablunkov použije vykoledované prostředky na podporu stávajících a rozvoj nových služeb. Prostředky Tříkrálové sbírky podpoříme činnost Denního stacionáře, Centra volnočasových aktivit, činnost Humanitární pomoci - zejména Humanitárního skladu, oblast mimořádných událostí a rozvoj dalších charitativních služeb na Jablunkovsku.</w:t>
      </w:r>
    </w:p>
    <w:p>
      <w:pPr>
        <w:pStyle w:val="style0"/>
      </w:pPr>
      <w:r>
        <w:rPr>
          <w:rFonts w:ascii="Arial" w:hAnsi="Arial"/>
        </w:rPr>
      </w:r>
    </w:p>
    <w:tbl>
      <w:tblPr>
        <w:jc w:val="center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857"/>
        <w:gridCol w:w="2000"/>
        <w:gridCol w:w="2258"/>
        <w:gridCol w:w="1743"/>
        <w:gridCol w:w="2230"/>
      </w:tblGrid>
      <w:tr>
        <w:trPr>
          <w:trHeight w:hRule="exact" w:val="340"/>
          <w:cantSplit w:val="false"/>
        </w:trPr>
        <w:tc>
          <w:tcPr>
            <w:tcW w:type="dxa" w:w="85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CCCCCC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hAnsi="Arial"/>
                <w:b/>
                <w:sz w:val="20"/>
                <w:shd w:fill="CCCCCC" w:val="clear"/>
              </w:rPr>
              <w:t>Pořadí</w:t>
            </w:r>
          </w:p>
        </w:tc>
        <w:tc>
          <w:tcPr>
            <w:tcW w:type="dxa" w:w="2000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CCCCCC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hAnsi="Arial"/>
                <w:b/>
                <w:sz w:val="20"/>
                <w:shd w:fill="CCCCCC" w:val="clear"/>
              </w:rPr>
              <w:t>Obec</w:t>
            </w:r>
          </w:p>
        </w:tc>
        <w:tc>
          <w:tcPr>
            <w:tcW w:type="dxa" w:w="225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CCCCCC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hAnsi="Arial"/>
                <w:b/>
                <w:sz w:val="20"/>
                <w:shd w:fill="CCCCCC" w:val="clear"/>
              </w:rPr>
              <w:t>Vykoledovaná částka</w:t>
            </w:r>
          </w:p>
        </w:tc>
        <w:tc>
          <w:tcPr>
            <w:tcW w:type="dxa" w:w="1743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CCCCCC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hAnsi="Arial"/>
                <w:b/>
                <w:sz w:val="20"/>
                <w:shd w:fill="CCCCCC" w:val="clear"/>
              </w:rPr>
              <w:t>Počet obyvatel</w:t>
            </w:r>
          </w:p>
        </w:tc>
        <w:tc>
          <w:tcPr>
            <w:tcW w:type="dxa" w:w="223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CCCCCC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hAnsi="Arial"/>
                <w:b/>
                <w:sz w:val="20"/>
                <w:shd w:fill="CCCCCC" w:val="clear"/>
              </w:rPr>
              <w:t>Průměr na obyvatele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Jablunkov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189777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5665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33.50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Mosty u Jablunkova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160860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3895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41.30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Návsí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85023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3898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21.81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Písek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62750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1785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35.15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Bukovec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52513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1382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38.00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Hrádek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49728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1800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27.63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Milíkov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31324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1308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23.95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Písečná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29126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959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30.37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Dolní Lomná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25607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869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29.47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Bocanovice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25372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442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57.40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Hrčava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7722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256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30.16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Horní Lomná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7618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360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21.16</w:t>
            </w:r>
          </w:p>
        </w:tc>
      </w:tr>
      <w:tr>
        <w:trPr>
          <w:trHeight w:hRule="exact" w:val="340"/>
          <w:cantSplit w:val="false"/>
        </w:trPr>
        <w:tc>
          <w:tcPr>
            <w:tcW w:type="dxa" w:w="8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Košařiska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4470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380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spacing w:line="100" w:lineRule="atLeast"/>
              <w:jc w:val="right"/>
            </w:pPr>
            <w:r>
              <w:rPr>
                <w:rFonts w:ascii="Arial" w:hAnsi="Arial"/>
                <w:sz w:val="20"/>
              </w:rPr>
              <w:t>11.76</w:t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857"/>
            <w:gridSpan w:val="2"/>
            <w:tcBorders>
              <w:left w:color="000000" w:space="0" w:sz="2" w:val="single"/>
              <w:bottom w:color="000000" w:space="0" w:sz="2" w:val="single"/>
            </w:tcBorders>
            <w:shd w:fill="CCCCCC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hAnsi="Arial"/>
                <w:b/>
                <w:bCs/>
                <w:sz w:val="20"/>
                <w:shd w:fill="CCCCCC" w:val="clear"/>
              </w:rPr>
              <w:t>CELKEM</w:t>
            </w:r>
          </w:p>
        </w:tc>
        <w:tc>
          <w:tcPr>
            <w:tcW w:type="dxa" w:w="2258"/>
            <w:tcBorders>
              <w:left w:color="000000" w:space="0" w:sz="2" w:val="single"/>
              <w:bottom w:color="000000" w:space="0" w:sz="2" w:val="single"/>
            </w:tcBorders>
            <w:shd w:fill="CCCCCC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hAnsi="Arial"/>
                <w:b/>
                <w:bCs/>
                <w:sz w:val="20"/>
                <w:shd w:fill="CCCCCC" w:val="clear"/>
              </w:rPr>
              <w:t>731890</w:t>
            </w:r>
          </w:p>
        </w:tc>
        <w:tc>
          <w:tcPr>
            <w:tcW w:type="dxa" w:w="1743"/>
            <w:tcBorders>
              <w:left w:color="000000" w:space="0" w:sz="2" w:val="single"/>
              <w:bottom w:color="000000" w:space="0" w:sz="2" w:val="single"/>
            </w:tcBorders>
            <w:shd w:fill="CCCCCC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hAnsi="Arial"/>
                <w:b/>
                <w:bCs/>
                <w:sz w:val="20"/>
                <w:shd w:fill="CCCCCC" w:val="clear"/>
              </w:rPr>
              <w:t>22999</w:t>
            </w:r>
          </w:p>
        </w:tc>
        <w:tc>
          <w:tcPr>
            <w:tcW w:type="dxa" w:w="223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CCCCCC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hAnsi="Arial"/>
                <w:b/>
                <w:bCs/>
                <w:sz w:val="20"/>
                <w:shd w:fill="CCCCCC" w:val="clear"/>
              </w:rPr>
              <w:t>31.82</w:t>
            </w:r>
          </w:p>
        </w:tc>
      </w:tr>
    </w:tbl>
    <w:p>
      <w:pPr>
        <w:pStyle w:val="style0"/>
      </w:pPr>
      <w:r>
        <w:rPr>
          <w:rFonts w:ascii="Arial" w:hAnsi="Arial"/>
        </w:rPr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 w:val="false"/>
      <w:tabs>
        <w:tab w:leader="none" w:pos="720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cs-CZ"/>
    </w:rPr>
  </w:style>
  <w:style w:styleId="style1" w:type="paragraph">
    <w:name w:val="Nadpis 1"/>
    <w:basedOn w:val="style20"/>
    <w:next w:val="style16"/>
    <w:pPr>
      <w:numPr>
        <w:ilvl w:val="0"/>
        <w:numId w:val="1"/>
      </w:numPr>
      <w:spacing w:after="0" w:before="200" w:line="100" w:lineRule="atLeast"/>
      <w:outlineLvl w:val="0"/>
    </w:pPr>
    <w:rPr>
      <w:rFonts w:ascii="Trebuchet MS" w:cs="Trebuchet MS" w:eastAsia="Trebuchet MS" w:hAnsi="Trebuchet MS"/>
      <w:sz w:val="32"/>
    </w:rPr>
  </w:style>
  <w:style w:styleId="style2" w:type="paragraph">
    <w:name w:val="Nadpis 2"/>
    <w:basedOn w:val="style20"/>
    <w:next w:val="style16"/>
    <w:pPr>
      <w:numPr>
        <w:ilvl w:val="1"/>
        <w:numId w:val="1"/>
      </w:numPr>
      <w:spacing w:after="0" w:before="200" w:line="100" w:lineRule="atLeast"/>
      <w:outlineLvl w:val="1"/>
    </w:pPr>
    <w:rPr>
      <w:rFonts w:ascii="Trebuchet MS" w:cs="Trebuchet MS" w:eastAsia="Trebuchet MS" w:hAnsi="Trebuchet MS"/>
      <w:b/>
      <w:sz w:val="26"/>
    </w:rPr>
  </w:style>
  <w:style w:styleId="style3" w:type="paragraph">
    <w:name w:val="Nadpis 3"/>
    <w:basedOn w:val="style20"/>
    <w:next w:val="style16"/>
    <w:pPr>
      <w:numPr>
        <w:ilvl w:val="2"/>
        <w:numId w:val="1"/>
      </w:numPr>
      <w:spacing w:after="0" w:before="160" w:line="100" w:lineRule="atLeast"/>
      <w:outlineLvl w:val="2"/>
    </w:pPr>
    <w:rPr>
      <w:rFonts w:ascii="Trebuchet MS" w:cs="Trebuchet MS" w:eastAsia="Trebuchet MS" w:hAnsi="Trebuchet MS"/>
      <w:b/>
      <w:color w:val="666666"/>
      <w:sz w:val="24"/>
    </w:rPr>
  </w:style>
  <w:style w:styleId="style4" w:type="paragraph">
    <w:name w:val="Nadpis 4"/>
    <w:basedOn w:val="style20"/>
    <w:next w:val="style16"/>
    <w:pPr>
      <w:numPr>
        <w:ilvl w:val="3"/>
        <w:numId w:val="1"/>
      </w:numPr>
      <w:spacing w:after="0" w:before="160" w:line="100" w:lineRule="atLeast"/>
      <w:outlineLvl w:val="3"/>
    </w:pPr>
    <w:rPr>
      <w:rFonts w:ascii="Trebuchet MS" w:cs="Trebuchet MS" w:eastAsia="Trebuchet MS" w:hAnsi="Trebuchet MS"/>
      <w:color w:val="666666"/>
      <w:sz w:val="22"/>
      <w:u w:val="single"/>
    </w:rPr>
  </w:style>
  <w:style w:styleId="style5" w:type="paragraph">
    <w:name w:val="Nadpis 5"/>
    <w:basedOn w:val="style20"/>
    <w:next w:val="style16"/>
    <w:pPr>
      <w:numPr>
        <w:ilvl w:val="4"/>
        <w:numId w:val="1"/>
      </w:numPr>
      <w:spacing w:after="0" w:before="160" w:line="100" w:lineRule="atLeast"/>
      <w:outlineLvl w:val="4"/>
    </w:pPr>
    <w:rPr>
      <w:rFonts w:ascii="Trebuchet MS" w:cs="Trebuchet MS" w:eastAsia="Trebuchet MS" w:hAnsi="Trebuchet MS"/>
      <w:color w:val="666666"/>
      <w:sz w:val="22"/>
    </w:rPr>
  </w:style>
  <w:style w:styleId="style6" w:type="paragraph">
    <w:name w:val="Nadpis 6"/>
    <w:basedOn w:val="style20"/>
    <w:next w:val="style16"/>
    <w:pPr>
      <w:numPr>
        <w:ilvl w:val="5"/>
        <w:numId w:val="1"/>
      </w:numPr>
      <w:spacing w:after="0" w:before="160" w:line="100" w:lineRule="atLeast"/>
      <w:outlineLvl w:val="5"/>
    </w:pPr>
    <w:rPr>
      <w:rFonts w:ascii="Trebuchet MS" w:cs="Trebuchet MS" w:eastAsia="Trebuchet MS" w:hAnsi="Trebuchet MS"/>
      <w:i/>
      <w:color w:val="666666"/>
      <w:sz w:val="22"/>
    </w:rPr>
  </w:style>
  <w:style w:styleId="style15" w:type="paragraph">
    <w:name w:val="Nadpis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Tělo textu"/>
    <w:basedOn w:val="style0"/>
    <w:next w:val="style16"/>
    <w:pPr>
      <w:spacing w:after="120" w:before="0"/>
    </w:pPr>
    <w:rPr/>
  </w:style>
  <w:style w:styleId="style17" w:type="paragraph">
    <w:name w:val="Seznam"/>
    <w:basedOn w:val="style16"/>
    <w:next w:val="style17"/>
    <w:pPr/>
    <w:rPr>
      <w:rFonts w:cs="Lohit Hindi"/>
    </w:rPr>
  </w:style>
  <w:style w:styleId="style18" w:type="paragraph">
    <w:name w:val="Popisek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Rejstřík"/>
    <w:basedOn w:val="style0"/>
    <w:next w:val="style19"/>
    <w:pPr>
      <w:suppressLineNumbers/>
    </w:pPr>
    <w:rPr>
      <w:rFonts w:cs="Lohit Hindi"/>
    </w:rPr>
  </w:style>
  <w:style w:styleId="style20" w:type="paragraph">
    <w:name w:val="normal"/>
    <w:next w:val="style20"/>
    <w:pPr>
      <w:widowControl/>
      <w:tabs>
        <w:tab w:leader="none" w:pos="720" w:val="left"/>
      </w:tabs>
      <w:suppressAutoHyphens w:val="true"/>
      <w:spacing w:after="0" w:before="0" w:line="276" w:lineRule="auto"/>
      <w:ind w:hanging="0" w:left="0" w:right="0"/>
      <w:jc w:val="left"/>
    </w:pPr>
    <w:rPr>
      <w:rFonts w:ascii="Arial" w:cs="Arial" w:eastAsia="Arial" w:hAnsi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4"/>
      <w:u w:val="none"/>
      <w:vertAlign w:val="baseline"/>
      <w:lang w:bidi="hi-IN" w:eastAsia="zh-CN" w:val="cs-CZ"/>
    </w:rPr>
  </w:style>
  <w:style w:styleId="style21" w:type="paragraph">
    <w:name w:val="Název"/>
    <w:basedOn w:val="style20"/>
    <w:next w:val="style22"/>
    <w:pPr>
      <w:spacing w:after="0" w:before="0" w:line="100" w:lineRule="atLeast"/>
      <w:jc w:val="center"/>
    </w:pPr>
    <w:rPr>
      <w:rFonts w:ascii="Trebuchet MS" w:cs="Trebuchet MS" w:eastAsia="Trebuchet MS" w:hAnsi="Trebuchet MS"/>
      <w:b/>
      <w:bCs/>
      <w:sz w:val="42"/>
      <w:szCs w:val="36"/>
    </w:rPr>
  </w:style>
  <w:style w:styleId="style22" w:type="paragraph">
    <w:name w:val="Podtitul"/>
    <w:basedOn w:val="style20"/>
    <w:next w:val="style16"/>
    <w:pPr>
      <w:spacing w:after="200" w:before="0" w:line="100" w:lineRule="atLeast"/>
      <w:jc w:val="center"/>
    </w:pPr>
    <w:rPr>
      <w:rFonts w:ascii="Trebuchet MS" w:cs="Trebuchet MS" w:eastAsia="Trebuchet MS" w:hAnsi="Trebuchet MS"/>
      <w:i/>
      <w:iCs/>
      <w:color w:val="666666"/>
      <w:sz w:val="26"/>
      <w:szCs w:val="28"/>
    </w:rPr>
  </w:style>
  <w:style w:styleId="style23" w:type="paragraph">
    <w:name w:val="Obsah tabulky"/>
    <w:basedOn w:val="style0"/>
    <w:next w:val="style23"/>
    <w:pPr>
      <w:suppressLineNumbers/>
    </w:pPr>
    <w:rPr/>
  </w:style>
  <w:style w:styleId="style24" w:type="paragraph">
    <w:name w:val="Nadpis tabulky"/>
    <w:basedOn w:val="style23"/>
    <w:next w:val="style24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  <dc:title>tks-2014-vysledky-obce.docx</dc:title>
</cp:coreProperties>
</file>